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2609E" w14:textId="57C021ED" w:rsidR="00B963B7" w:rsidRPr="00983B8C" w:rsidRDefault="00B963B7" w:rsidP="00B963B7">
      <w:pPr>
        <w:spacing w:after="0" w:line="240" w:lineRule="auto"/>
        <w:jc w:val="center"/>
        <w:rPr>
          <w:b/>
          <w:bCs/>
          <w:u w:val="single"/>
        </w:rPr>
      </w:pPr>
      <w:r w:rsidRPr="00983B8C">
        <w:rPr>
          <w:b/>
          <w:bCs/>
          <w:u w:val="single"/>
        </w:rPr>
        <w:t>IRA Elective Pay Provision Brief</w:t>
      </w:r>
    </w:p>
    <w:p w14:paraId="095408F8" w14:textId="77777777" w:rsidR="00B963B7" w:rsidRDefault="00B963B7" w:rsidP="00B963B7">
      <w:pPr>
        <w:spacing w:after="0" w:line="240" w:lineRule="auto"/>
        <w:jc w:val="center"/>
      </w:pPr>
    </w:p>
    <w:p w14:paraId="275F8418" w14:textId="71D95169" w:rsidR="00736353" w:rsidRDefault="00765B40" w:rsidP="00D4470B">
      <w:pPr>
        <w:spacing w:after="0" w:line="240" w:lineRule="auto"/>
      </w:pPr>
      <w:r>
        <w:t xml:space="preserve">The 2022 Inflation Reduction Act (IRA) </w:t>
      </w:r>
      <w:r w:rsidR="00A9097A">
        <w:t>represent</w:t>
      </w:r>
      <w:r>
        <w:t xml:space="preserve">s </w:t>
      </w:r>
      <w:r w:rsidR="00A9097A">
        <w:t>the possibility of major investment for</w:t>
      </w:r>
      <w:r>
        <w:t xml:space="preserve"> Pennsylvania’s energy future</w:t>
      </w:r>
      <w:r w:rsidR="006912A4">
        <w:t xml:space="preserve"> with the Federal government allocating hundreds of billions of dollars nationally</w:t>
      </w:r>
      <w:r>
        <w:t xml:space="preserve">. </w:t>
      </w:r>
      <w:r w:rsidR="006912A4">
        <w:t>Unique to the IRA t</w:t>
      </w:r>
      <w:r>
        <w:t xml:space="preserve">hrough </w:t>
      </w:r>
      <w:r w:rsidR="0014383B">
        <w:t>Elective Pay</w:t>
      </w:r>
      <w:r w:rsidR="00FD5F85">
        <w:t>ment</w:t>
      </w:r>
      <w:r w:rsidR="00C5641E">
        <w:t>,</w:t>
      </w:r>
      <w:r w:rsidR="0014383B">
        <w:t xml:space="preserve"> </w:t>
      </w:r>
      <w:r w:rsidR="0014383B">
        <w:rPr>
          <w:rFonts w:ascii="EBGaramond-Regular" w:hAnsi="EBGaramond-Regular" w:cs="EBGaramond-Regular"/>
          <w:kern w:val="0"/>
          <w:sz w:val="24"/>
          <w:szCs w:val="24"/>
        </w:rPr>
        <w:t>IRA §6417</w:t>
      </w:r>
      <w:r w:rsidR="00FD5F85">
        <w:rPr>
          <w:rFonts w:ascii="EBGaramond-Regular" w:hAnsi="EBGaramond-Regular" w:cs="EBGaramond-Regular"/>
          <w:kern w:val="0"/>
          <w:sz w:val="24"/>
          <w:szCs w:val="24"/>
        </w:rPr>
        <w:t>,</w:t>
      </w:r>
      <w:r w:rsidR="0014383B">
        <w:t xml:space="preserve"> provisions (so-called “Direct Pay”), tax exempt entities </w:t>
      </w:r>
      <w:r w:rsidR="00C5641E">
        <w:t xml:space="preserve">(such as local governments and non-profits) </w:t>
      </w:r>
      <w:r w:rsidR="0014383B">
        <w:t>can plan</w:t>
      </w:r>
      <w:r w:rsidR="00213CB2">
        <w:t xml:space="preserve"> </w:t>
      </w:r>
      <w:r w:rsidR="00D35130">
        <w:t xml:space="preserve">clean </w:t>
      </w:r>
      <w:r w:rsidR="00213CB2">
        <w:t>energy</w:t>
      </w:r>
      <w:r w:rsidR="0014383B">
        <w:t xml:space="preserve"> projects</w:t>
      </w:r>
      <w:r w:rsidR="00447085">
        <w:t xml:space="preserve"> (solar, geothermal, etc.)</w:t>
      </w:r>
      <w:r w:rsidR="00C5641E">
        <w:t xml:space="preserve"> and claim tax credits</w:t>
      </w:r>
      <w:r w:rsidR="00A9097A">
        <w:t xml:space="preserve"> provided through direct cash payments from the </w:t>
      </w:r>
      <w:r w:rsidR="00356A16">
        <w:t>Internal Revenue Service</w:t>
      </w:r>
      <w:r w:rsidR="00A9097A">
        <w:t xml:space="preserve"> for</w:t>
      </w:r>
      <w:r w:rsidR="00C5641E">
        <w:t xml:space="preserve"> eligible provisions</w:t>
      </w:r>
      <w:r w:rsidR="00A9097A">
        <w:t xml:space="preserve"> in a process novel to the IRA</w:t>
      </w:r>
      <w:r w:rsidR="00C5641E">
        <w:t>.</w:t>
      </w:r>
      <w:r w:rsidR="00BC5981">
        <w:rPr>
          <w:rStyle w:val="FootnoteReference"/>
        </w:rPr>
        <w:footnoteReference w:id="1"/>
      </w:r>
      <w:r w:rsidR="00C5641E">
        <w:t xml:space="preserve"> </w:t>
      </w:r>
      <w:r w:rsidR="000910EB">
        <w:t>This pre</w:t>
      </w:r>
      <w:bookmarkStart w:id="0" w:name="_GoBack"/>
      <w:bookmarkEnd w:id="0"/>
      <w:r w:rsidR="000910EB">
        <w:t xml:space="preserve">sents local governments and non-profits with a novel opportunity to direct and control energy policy for their area or organization. </w:t>
      </w:r>
    </w:p>
    <w:p w14:paraId="3B6E541A" w14:textId="77777777" w:rsidR="00213CB2" w:rsidRDefault="00213CB2" w:rsidP="00D4470B">
      <w:pPr>
        <w:spacing w:after="0" w:line="240" w:lineRule="auto"/>
      </w:pPr>
    </w:p>
    <w:p w14:paraId="7049BEFB" w14:textId="70430C5E" w:rsidR="00D35130" w:rsidRPr="00356A16" w:rsidRDefault="00D35130" w:rsidP="00D4470B">
      <w:pPr>
        <w:spacing w:after="0" w:line="240" w:lineRule="auto"/>
        <w:rPr>
          <w:b/>
          <w:bCs/>
        </w:rPr>
      </w:pPr>
      <w:r w:rsidRPr="00356A16">
        <w:rPr>
          <w:b/>
          <w:bCs/>
        </w:rPr>
        <w:t>How does this apply</w:t>
      </w:r>
      <w:r w:rsidR="00356A16">
        <w:rPr>
          <w:b/>
          <w:bCs/>
        </w:rPr>
        <w:t xml:space="preserve"> to you or your organization</w:t>
      </w:r>
      <w:r w:rsidRPr="00356A16">
        <w:rPr>
          <w:b/>
          <w:bCs/>
        </w:rPr>
        <w:t>?</w:t>
      </w:r>
    </w:p>
    <w:p w14:paraId="1916C304" w14:textId="77777777" w:rsidR="00356A16" w:rsidRDefault="00356A16" w:rsidP="00D4470B">
      <w:pPr>
        <w:spacing w:after="0" w:line="240" w:lineRule="auto"/>
      </w:pPr>
    </w:p>
    <w:p w14:paraId="2DC9D2E2" w14:textId="6093B6C4" w:rsidR="00B963B7" w:rsidRDefault="00D35130" w:rsidP="00D4470B">
      <w:pPr>
        <w:spacing w:after="0" w:line="240" w:lineRule="auto"/>
      </w:pPr>
      <w:r>
        <w:t xml:space="preserve">Take as example a local government </w:t>
      </w:r>
      <w:r w:rsidR="00356A16">
        <w:t>that wants to build</w:t>
      </w:r>
      <w:r>
        <w:t xml:space="preserve"> a solar project </w:t>
      </w:r>
      <w:r w:rsidR="00356A16">
        <w:t>to power</w:t>
      </w:r>
      <w:r>
        <w:t xml:space="preserve"> lo</w:t>
      </w:r>
      <w:r w:rsidR="00B963B7">
        <w:t>w</w:t>
      </w:r>
      <w:r>
        <w:t>-income households. The project itself</w:t>
      </w:r>
      <w:r w:rsidR="006912A4">
        <w:t>,</w:t>
      </w:r>
      <w:r>
        <w:t xml:space="preserve"> if compliant with Prevailing Wage and Apprenticeship rules</w:t>
      </w:r>
      <w:r w:rsidR="006912A4">
        <w:t>,</w:t>
      </w:r>
      <w:r>
        <w:t xml:space="preserve"> is eligible for up to a 30% credit. That i</w:t>
      </w:r>
      <w:r w:rsidR="006912A4">
        <w:t xml:space="preserve">t </w:t>
      </w:r>
      <w:r>
        <w:t xml:space="preserve">takes place in </w:t>
      </w:r>
      <w:r w:rsidR="00BA0AA3">
        <w:t>or</w:t>
      </w:r>
      <w:r>
        <w:t xml:space="preserve"> benefits a low-income community qualifies it for an additional </w:t>
      </w:r>
      <w:r w:rsidR="006912A4">
        <w:t xml:space="preserve">possibility of </w:t>
      </w:r>
      <w:r>
        <w:t>20%.</w:t>
      </w:r>
      <w:r w:rsidR="00BA0AA3">
        <w:t xml:space="preserve"> If the project meets domestic content requirements for steel/iron and manufactured products, it’s eligible for another 10%. Much of Pennsylvania is Federally designated by the Department of Energy as an “Energy Community” for historic involvement in the mining industry (map and methodology found through DOE </w:t>
      </w:r>
      <w:hyperlink r:id="rId10" w:history="1">
        <w:r w:rsidR="00BA0AA3" w:rsidRPr="00BA0AA3">
          <w:rPr>
            <w:rStyle w:val="Hyperlink"/>
          </w:rPr>
          <w:t>HERE</w:t>
        </w:r>
      </w:hyperlink>
      <w:r w:rsidR="00BA0AA3">
        <w:t xml:space="preserve">). Projects in Energy Communities are eligible for another 10% in credit. </w:t>
      </w:r>
      <w:r w:rsidR="00BA0AA3" w:rsidRPr="00356A16">
        <w:rPr>
          <w:b/>
          <w:bCs/>
          <w:u w:val="single"/>
        </w:rPr>
        <w:t xml:space="preserve">In total, 70% of project costs may be eligible for IRA Elective </w:t>
      </w:r>
      <w:r w:rsidR="00447085" w:rsidRPr="00356A16">
        <w:rPr>
          <w:b/>
          <w:bCs/>
          <w:u w:val="single"/>
        </w:rPr>
        <w:t>P</w:t>
      </w:r>
      <w:r w:rsidR="00BA0AA3" w:rsidRPr="00356A16">
        <w:rPr>
          <w:b/>
          <w:bCs/>
          <w:u w:val="single"/>
        </w:rPr>
        <w:t>ayment</w:t>
      </w:r>
      <w:r w:rsidR="00E62640" w:rsidRPr="00356A16">
        <w:rPr>
          <w:b/>
          <w:bCs/>
          <w:u w:val="single"/>
        </w:rPr>
        <w:t xml:space="preserve"> reimbursement</w:t>
      </w:r>
      <w:r w:rsidR="00BA0AA3" w:rsidRPr="00356A16">
        <w:rPr>
          <w:b/>
          <w:bCs/>
          <w:u w:val="single"/>
        </w:rPr>
        <w:t>.</w:t>
      </w:r>
      <w:r w:rsidR="00BA0AA3">
        <w:t xml:space="preserve"> </w:t>
      </w:r>
    </w:p>
    <w:p w14:paraId="6A0B40D4" w14:textId="77777777" w:rsidR="00F85CA4" w:rsidRDefault="00F85CA4" w:rsidP="00D4470B">
      <w:pPr>
        <w:spacing w:after="0" w:line="240" w:lineRule="auto"/>
      </w:pPr>
    </w:p>
    <w:p w14:paraId="6DA9A9AC" w14:textId="09C9D2B6" w:rsidR="00F85CA4" w:rsidRDefault="00801109" w:rsidP="00D4470B">
      <w:pPr>
        <w:spacing w:after="0" w:line="240" w:lineRule="auto"/>
      </w:pPr>
      <w:r w:rsidRPr="00801109">
        <w:rPr>
          <w:noProof/>
        </w:rPr>
        <w:drawing>
          <wp:inline distT="0" distB="0" distL="0" distR="0" wp14:anchorId="29CBED28" wp14:editId="51ACC62F">
            <wp:extent cx="5943600" cy="2459355"/>
            <wp:effectExtent l="0" t="38100" r="38100" b="55245"/>
            <wp:docPr id="1628272679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164D7FED-6795-A27E-2342-12DAEC99B3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353CE8E9" w14:textId="77777777" w:rsidR="00BC5981" w:rsidRDefault="00BC5981" w:rsidP="00D4470B">
      <w:pPr>
        <w:spacing w:after="0" w:line="240" w:lineRule="auto"/>
      </w:pPr>
    </w:p>
    <w:p w14:paraId="358A25D1" w14:textId="2B213D41" w:rsidR="00B963B7" w:rsidRDefault="00B963B7" w:rsidP="00D4470B">
      <w:pPr>
        <w:spacing w:after="0" w:line="240" w:lineRule="auto"/>
      </w:pPr>
      <w:r>
        <w:t xml:space="preserve">This dramatically affects weighted average cost of capital considerations </w:t>
      </w:r>
      <w:r w:rsidRPr="00356A16">
        <w:rPr>
          <w:b/>
          <w:bCs/>
        </w:rPr>
        <w:t>with tax credits serving as one of, if not the most, desirable forms of financing instruments</w:t>
      </w:r>
      <w:r>
        <w:t>. Furthermore, this incentive toward capital investment in energy generation is intended to lower operation costs by reducing customer energy costs and/or moving them behind the meter.</w:t>
      </w:r>
    </w:p>
    <w:p w14:paraId="2A79BBB6" w14:textId="77777777" w:rsidR="00B963B7" w:rsidRDefault="00B963B7" w:rsidP="00D4470B">
      <w:pPr>
        <w:spacing w:after="0" w:line="240" w:lineRule="auto"/>
      </w:pPr>
    </w:p>
    <w:p w14:paraId="6D66F155" w14:textId="369D9B51" w:rsidR="00BC5981" w:rsidRDefault="00356A16" w:rsidP="00D4470B">
      <w:pPr>
        <w:spacing w:after="0" w:line="240" w:lineRule="auto"/>
      </w:pPr>
      <w:r>
        <w:t>IRS</w:t>
      </w:r>
      <w:r w:rsidR="000910EB">
        <w:t xml:space="preserve"> documents accompanying this </w:t>
      </w:r>
      <w:r w:rsidR="00B963B7">
        <w:t>brief</w:t>
      </w:r>
      <w:r w:rsidR="000910EB">
        <w:t xml:space="preserve"> offer further explanation and guidance on Elective Pay</w:t>
      </w:r>
      <w:r>
        <w:t>ment</w:t>
      </w:r>
      <w:r w:rsidR="000910EB">
        <w:t xml:space="preserve"> and Eligible Tax Credits. </w:t>
      </w:r>
      <w:r w:rsidR="005273E8">
        <w:t>Additional</w:t>
      </w:r>
      <w:r w:rsidR="006912A4">
        <w:t xml:space="preserve"> and up-to-date information o</w:t>
      </w:r>
      <w:r w:rsidR="005273E8">
        <w:t>n</w:t>
      </w:r>
      <w:r w:rsidR="006912A4">
        <w:t xml:space="preserve"> IRA tax provisions can be found on the </w:t>
      </w:r>
      <w:r w:rsidR="000910EB">
        <w:t>IRS’s</w:t>
      </w:r>
      <w:r w:rsidR="006912A4">
        <w:t xml:space="preserve"> website (</w:t>
      </w:r>
      <w:hyperlink r:id="rId16" w:anchor="energy" w:history="1">
        <w:r w:rsidR="006912A4" w:rsidRPr="006912A4">
          <w:rPr>
            <w:rStyle w:val="Hyperlink"/>
          </w:rPr>
          <w:t>HERE</w:t>
        </w:r>
      </w:hyperlink>
      <w:r w:rsidR="006912A4">
        <w:t xml:space="preserve">). </w:t>
      </w:r>
    </w:p>
    <w:sectPr w:rsidR="00BC5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78DEE" w14:textId="77777777" w:rsidR="009A045F" w:rsidRDefault="009A045F" w:rsidP="00BC5981">
      <w:pPr>
        <w:spacing w:after="0" w:line="240" w:lineRule="auto"/>
      </w:pPr>
      <w:r>
        <w:separator/>
      </w:r>
    </w:p>
  </w:endnote>
  <w:endnote w:type="continuationSeparator" w:id="0">
    <w:p w14:paraId="299445E2" w14:textId="77777777" w:rsidR="009A045F" w:rsidRDefault="009A045F" w:rsidP="00BC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Garamond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10C1B" w14:textId="77777777" w:rsidR="009A045F" w:rsidRDefault="009A045F" w:rsidP="00BC5981">
      <w:pPr>
        <w:spacing w:after="0" w:line="240" w:lineRule="auto"/>
      </w:pPr>
      <w:r>
        <w:separator/>
      </w:r>
    </w:p>
  </w:footnote>
  <w:footnote w:type="continuationSeparator" w:id="0">
    <w:p w14:paraId="7DA228A3" w14:textId="77777777" w:rsidR="009A045F" w:rsidRDefault="009A045F" w:rsidP="00BC5981">
      <w:pPr>
        <w:spacing w:after="0" w:line="240" w:lineRule="auto"/>
      </w:pPr>
      <w:r>
        <w:continuationSeparator/>
      </w:r>
    </w:p>
  </w:footnote>
  <w:footnote w:id="1">
    <w:p w14:paraId="72FE92AF" w14:textId="50517502" w:rsidR="00BC5981" w:rsidRDefault="00BC5981">
      <w:pPr>
        <w:pStyle w:val="FootnoteText"/>
      </w:pPr>
      <w:r>
        <w:rPr>
          <w:rStyle w:val="FootnoteReference"/>
        </w:rPr>
        <w:footnoteRef/>
      </w:r>
      <w:r>
        <w:t xml:space="preserve"> While the purpose of this document is to inform on the novel Elective Pay</w:t>
      </w:r>
      <w:r w:rsidR="00356A16">
        <w:t>ment</w:t>
      </w:r>
      <w:r>
        <w:t xml:space="preserve"> instrument, much of the information described herein is applicable to private firms through traditional tax credits via the IRS.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0B"/>
    <w:rsid w:val="000910EB"/>
    <w:rsid w:val="000D5838"/>
    <w:rsid w:val="0014383B"/>
    <w:rsid w:val="00194243"/>
    <w:rsid w:val="00213CB2"/>
    <w:rsid w:val="00356A16"/>
    <w:rsid w:val="00447085"/>
    <w:rsid w:val="004A2629"/>
    <w:rsid w:val="005273E8"/>
    <w:rsid w:val="006912A4"/>
    <w:rsid w:val="00736353"/>
    <w:rsid w:val="00765B40"/>
    <w:rsid w:val="00801109"/>
    <w:rsid w:val="00811119"/>
    <w:rsid w:val="009151B6"/>
    <w:rsid w:val="00983B8C"/>
    <w:rsid w:val="009A045F"/>
    <w:rsid w:val="00A9097A"/>
    <w:rsid w:val="00AC544C"/>
    <w:rsid w:val="00B963B7"/>
    <w:rsid w:val="00BA0AA3"/>
    <w:rsid w:val="00BC5981"/>
    <w:rsid w:val="00C220B5"/>
    <w:rsid w:val="00C5641E"/>
    <w:rsid w:val="00D35130"/>
    <w:rsid w:val="00D4470B"/>
    <w:rsid w:val="00DD149A"/>
    <w:rsid w:val="00E62640"/>
    <w:rsid w:val="00EC0F05"/>
    <w:rsid w:val="00F06577"/>
    <w:rsid w:val="00F85CA4"/>
    <w:rsid w:val="00FD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22623"/>
  <w15:chartTrackingRefBased/>
  <w15:docId w15:val="{370DE49F-CB10-4243-8789-1BA66741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0A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AA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59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59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598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D5F8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rs.gov/credits-and-deductions-under-the-inflation-reduction-act-of-202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5" Type="http://schemas.openxmlformats.org/officeDocument/2006/relationships/styles" Target="styles.xml"/><Relationship Id="rId15" Type="http://schemas.microsoft.com/office/2007/relationships/diagramDrawing" Target="diagrams/drawing1.xml"/><Relationship Id="rId10" Type="http://schemas.openxmlformats.org/officeDocument/2006/relationships/hyperlink" Target="https://energycommunities.gov/energy-community-tax-credit-bonus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CB3A52-E04A-4282-B91E-C4C940EBD6D6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B751EE8-7798-46A7-BB89-AB8B56FE82D3}">
      <dgm:prSet/>
      <dgm:spPr>
        <a:solidFill>
          <a:srgbClr val="1C2B62"/>
        </a:solidFill>
        <a:ln>
          <a:solidFill>
            <a:srgbClr val="E1EBF6"/>
          </a:solidFill>
        </a:ln>
      </dgm:spPr>
      <dgm:t>
        <a:bodyPr/>
        <a:lstStyle/>
        <a:p>
          <a:r>
            <a:rPr lang="en-US" dirty="0">
              <a:solidFill>
                <a:srgbClr val="E1EBF6"/>
              </a:solidFill>
              <a:latin typeface="PP Fragment Sans Medium" pitchFamily="50" charset="0"/>
              <a:ea typeface="PP Fragment Sans Medium" pitchFamily="50" charset="0"/>
            </a:rPr>
            <a:t>30%</a:t>
          </a:r>
        </a:p>
      </dgm:t>
    </dgm:pt>
    <dgm:pt modelId="{4D438836-22B3-474A-BCDD-2BE71EB77294}" type="parTrans" cxnId="{9C38FF66-5278-4E95-8DBA-B130241E4F70}">
      <dgm:prSet/>
      <dgm:spPr/>
      <dgm:t>
        <a:bodyPr/>
        <a:lstStyle/>
        <a:p>
          <a:endParaRPr lang="en-US"/>
        </a:p>
      </dgm:t>
    </dgm:pt>
    <dgm:pt modelId="{87E1A0DB-D4F6-4B79-8C9B-8013FE2A7ED2}" type="sibTrans" cxnId="{9C38FF66-5278-4E95-8DBA-B130241E4F70}">
      <dgm:prSet/>
      <dgm:spPr/>
      <dgm:t>
        <a:bodyPr/>
        <a:lstStyle/>
        <a:p>
          <a:endParaRPr lang="en-US"/>
        </a:p>
      </dgm:t>
    </dgm:pt>
    <dgm:pt modelId="{47F9FF72-364F-45A5-A758-E9A184326610}">
      <dgm:prSet/>
      <dgm:spPr>
        <a:solidFill>
          <a:srgbClr val="2D459C">
            <a:alpha val="90000"/>
          </a:srgbClr>
        </a:solidFill>
        <a:ln>
          <a:solidFill>
            <a:srgbClr val="E1EBF6">
              <a:alpha val="90000"/>
            </a:srgbClr>
          </a:solidFill>
        </a:ln>
      </dgm:spPr>
      <dgm:t>
        <a:bodyPr/>
        <a:lstStyle/>
        <a:p>
          <a:pPr>
            <a:buFontTx/>
            <a:buNone/>
          </a:pPr>
          <a:r>
            <a:rPr lang="en-US" dirty="0">
              <a:solidFill>
                <a:srgbClr val="E1EBF6"/>
              </a:solidFill>
              <a:latin typeface="PP Fragment Sans Medium" pitchFamily="50" charset="0"/>
              <a:ea typeface="PP Fragment Sans Medium" pitchFamily="50" charset="0"/>
            </a:rPr>
            <a:t>	Complies with Prevailing Wage and Apprenticeship Rules </a:t>
          </a:r>
        </a:p>
      </dgm:t>
    </dgm:pt>
    <dgm:pt modelId="{FB05E389-EF14-4511-9CAA-A83B99C8CDCB}" type="parTrans" cxnId="{F7562E88-6B51-4A33-8B88-3433D1EADD88}">
      <dgm:prSet/>
      <dgm:spPr/>
      <dgm:t>
        <a:bodyPr/>
        <a:lstStyle/>
        <a:p>
          <a:endParaRPr lang="en-US"/>
        </a:p>
      </dgm:t>
    </dgm:pt>
    <dgm:pt modelId="{1A33586F-B3E7-483D-B88A-E7242A04B58F}" type="sibTrans" cxnId="{F7562E88-6B51-4A33-8B88-3433D1EADD88}">
      <dgm:prSet/>
      <dgm:spPr/>
      <dgm:t>
        <a:bodyPr/>
        <a:lstStyle/>
        <a:p>
          <a:endParaRPr lang="en-US"/>
        </a:p>
      </dgm:t>
    </dgm:pt>
    <dgm:pt modelId="{9CE97B2B-7F6F-41F2-8B25-12F81105A64D}">
      <dgm:prSet/>
      <dgm:spPr>
        <a:solidFill>
          <a:srgbClr val="1C2B62"/>
        </a:solidFill>
        <a:ln>
          <a:solidFill>
            <a:srgbClr val="E1EBF6"/>
          </a:solidFill>
        </a:ln>
      </dgm:spPr>
      <dgm:t>
        <a:bodyPr/>
        <a:lstStyle/>
        <a:p>
          <a:r>
            <a:rPr lang="en-US" dirty="0">
              <a:solidFill>
                <a:srgbClr val="E1EBF6"/>
              </a:solidFill>
              <a:latin typeface="PP Fragment Sans Medium" pitchFamily="50" charset="0"/>
              <a:ea typeface="PP Fragment Sans Medium" pitchFamily="50" charset="0"/>
            </a:rPr>
            <a:t>20%</a:t>
          </a:r>
        </a:p>
      </dgm:t>
    </dgm:pt>
    <dgm:pt modelId="{C60BF9D3-5C0B-4964-8EC6-8C57DBBC5759}" type="parTrans" cxnId="{F295AFD1-8553-4E7A-8D7F-50B84D1094BF}">
      <dgm:prSet/>
      <dgm:spPr/>
      <dgm:t>
        <a:bodyPr/>
        <a:lstStyle/>
        <a:p>
          <a:endParaRPr lang="en-US"/>
        </a:p>
      </dgm:t>
    </dgm:pt>
    <dgm:pt modelId="{16E999C2-7ADB-46CE-A509-1EF2CD1F25D4}" type="sibTrans" cxnId="{F295AFD1-8553-4E7A-8D7F-50B84D1094BF}">
      <dgm:prSet/>
      <dgm:spPr/>
      <dgm:t>
        <a:bodyPr/>
        <a:lstStyle/>
        <a:p>
          <a:endParaRPr lang="en-US"/>
        </a:p>
      </dgm:t>
    </dgm:pt>
    <dgm:pt modelId="{F2ACC94D-A3C2-4722-8D8A-1C61D9FDF9FF}">
      <dgm:prSet/>
      <dgm:spPr>
        <a:solidFill>
          <a:srgbClr val="2D459C">
            <a:alpha val="90000"/>
          </a:srgbClr>
        </a:solidFill>
        <a:ln>
          <a:solidFill>
            <a:srgbClr val="E1EBF6">
              <a:alpha val="90000"/>
            </a:srgbClr>
          </a:solidFill>
        </a:ln>
      </dgm:spPr>
      <dgm:t>
        <a:bodyPr/>
        <a:lstStyle/>
        <a:p>
          <a:pPr>
            <a:buNone/>
          </a:pPr>
          <a:r>
            <a:rPr lang="en-US" dirty="0">
              <a:solidFill>
                <a:srgbClr val="E1EBF6"/>
              </a:solidFill>
              <a:latin typeface="PP Fragment Sans Medium" pitchFamily="50" charset="0"/>
              <a:ea typeface="PP Fragment Sans Medium" pitchFamily="50" charset="0"/>
            </a:rPr>
            <a:t>	Occurs in or Benefits a Low Income Community </a:t>
          </a:r>
        </a:p>
      </dgm:t>
    </dgm:pt>
    <dgm:pt modelId="{D7B6FCF7-C6CB-4821-8271-EB78B0F3211E}" type="parTrans" cxnId="{D4C61D68-371B-4767-9365-6E4449AF91CA}">
      <dgm:prSet/>
      <dgm:spPr/>
      <dgm:t>
        <a:bodyPr/>
        <a:lstStyle/>
        <a:p>
          <a:endParaRPr lang="en-US"/>
        </a:p>
      </dgm:t>
    </dgm:pt>
    <dgm:pt modelId="{2208C61C-D70A-4D83-AED4-960E96B1756C}" type="sibTrans" cxnId="{D4C61D68-371B-4767-9365-6E4449AF91CA}">
      <dgm:prSet/>
      <dgm:spPr/>
      <dgm:t>
        <a:bodyPr/>
        <a:lstStyle/>
        <a:p>
          <a:endParaRPr lang="en-US"/>
        </a:p>
      </dgm:t>
    </dgm:pt>
    <dgm:pt modelId="{042FE387-C026-462D-9E87-7FB30ADA52CF}">
      <dgm:prSet/>
      <dgm:spPr>
        <a:solidFill>
          <a:srgbClr val="1C2B62"/>
        </a:solidFill>
        <a:ln>
          <a:solidFill>
            <a:srgbClr val="E1EBF6"/>
          </a:solidFill>
        </a:ln>
      </dgm:spPr>
      <dgm:t>
        <a:bodyPr/>
        <a:lstStyle/>
        <a:p>
          <a:r>
            <a:rPr lang="en-US" dirty="0">
              <a:solidFill>
                <a:srgbClr val="E1EBF6"/>
              </a:solidFill>
              <a:latin typeface="PP Fragment Sans Medium" pitchFamily="50" charset="0"/>
              <a:ea typeface="PP Fragment Sans Medium" pitchFamily="50" charset="0"/>
            </a:rPr>
            <a:t>10%</a:t>
          </a:r>
        </a:p>
      </dgm:t>
    </dgm:pt>
    <dgm:pt modelId="{BF3BA599-588A-492A-AB91-02EBEA88FB59}" type="parTrans" cxnId="{8DC0E82B-124C-4AF0-8F64-A90384878EF1}">
      <dgm:prSet/>
      <dgm:spPr/>
      <dgm:t>
        <a:bodyPr/>
        <a:lstStyle/>
        <a:p>
          <a:endParaRPr lang="en-US"/>
        </a:p>
      </dgm:t>
    </dgm:pt>
    <dgm:pt modelId="{E358D7AB-3E6C-4009-8599-9F9C1C1B18BB}" type="sibTrans" cxnId="{8DC0E82B-124C-4AF0-8F64-A90384878EF1}">
      <dgm:prSet/>
      <dgm:spPr/>
      <dgm:t>
        <a:bodyPr/>
        <a:lstStyle/>
        <a:p>
          <a:endParaRPr lang="en-US"/>
        </a:p>
      </dgm:t>
    </dgm:pt>
    <dgm:pt modelId="{052A5456-488F-44E1-97E4-BCC327F26187}">
      <dgm:prSet/>
      <dgm:spPr>
        <a:solidFill>
          <a:srgbClr val="2D459C">
            <a:alpha val="90000"/>
          </a:srgbClr>
        </a:solidFill>
        <a:ln>
          <a:solidFill>
            <a:srgbClr val="E1EBF6">
              <a:alpha val="90000"/>
            </a:srgbClr>
          </a:solidFill>
        </a:ln>
      </dgm:spPr>
      <dgm:t>
        <a:bodyPr/>
        <a:lstStyle/>
        <a:p>
          <a:pPr>
            <a:buNone/>
          </a:pPr>
          <a:r>
            <a:rPr lang="en-US" dirty="0">
              <a:solidFill>
                <a:srgbClr val="E1EBF6"/>
              </a:solidFill>
              <a:latin typeface="PP Fragment Sans Medium" pitchFamily="50" charset="0"/>
              <a:ea typeface="PP Fragment Sans Medium" pitchFamily="50" charset="0"/>
            </a:rPr>
            <a:t>	Meets Domestic Content Requirement </a:t>
          </a:r>
        </a:p>
      </dgm:t>
    </dgm:pt>
    <dgm:pt modelId="{F051F766-D06E-427B-8BC7-96CDB424D4E0}" type="parTrans" cxnId="{D2CCEE72-A452-4CE9-B435-99833543D1A3}">
      <dgm:prSet/>
      <dgm:spPr/>
      <dgm:t>
        <a:bodyPr/>
        <a:lstStyle/>
        <a:p>
          <a:endParaRPr lang="en-US"/>
        </a:p>
      </dgm:t>
    </dgm:pt>
    <dgm:pt modelId="{944A5481-4BA7-48A2-8BEB-C11FBF6CDD76}" type="sibTrans" cxnId="{D2CCEE72-A452-4CE9-B435-99833543D1A3}">
      <dgm:prSet/>
      <dgm:spPr/>
      <dgm:t>
        <a:bodyPr/>
        <a:lstStyle/>
        <a:p>
          <a:endParaRPr lang="en-US"/>
        </a:p>
      </dgm:t>
    </dgm:pt>
    <dgm:pt modelId="{6BA9A5FD-4823-434A-9DCA-7FD35FD39C84}">
      <dgm:prSet/>
      <dgm:spPr>
        <a:solidFill>
          <a:srgbClr val="1C2B62"/>
        </a:solidFill>
        <a:ln>
          <a:solidFill>
            <a:srgbClr val="E1EBF6"/>
          </a:solidFill>
        </a:ln>
      </dgm:spPr>
      <dgm:t>
        <a:bodyPr/>
        <a:lstStyle/>
        <a:p>
          <a:r>
            <a:rPr lang="en-US" dirty="0">
              <a:solidFill>
                <a:srgbClr val="E1EBF6"/>
              </a:solidFill>
              <a:latin typeface="PP Fragment Sans Medium" pitchFamily="50" charset="0"/>
              <a:ea typeface="PP Fragment Sans Medium" pitchFamily="50" charset="0"/>
            </a:rPr>
            <a:t>10%</a:t>
          </a:r>
        </a:p>
      </dgm:t>
    </dgm:pt>
    <dgm:pt modelId="{36C48C76-052F-4E72-8C29-BE845C4CAD10}" type="parTrans" cxnId="{2EC4CAF5-80AC-4B03-B89A-19ABABE04E15}">
      <dgm:prSet/>
      <dgm:spPr/>
      <dgm:t>
        <a:bodyPr/>
        <a:lstStyle/>
        <a:p>
          <a:endParaRPr lang="en-US"/>
        </a:p>
      </dgm:t>
    </dgm:pt>
    <dgm:pt modelId="{FE89F4FE-C0AE-4241-8A3A-37DD7F077852}" type="sibTrans" cxnId="{2EC4CAF5-80AC-4B03-B89A-19ABABE04E15}">
      <dgm:prSet/>
      <dgm:spPr/>
      <dgm:t>
        <a:bodyPr/>
        <a:lstStyle/>
        <a:p>
          <a:endParaRPr lang="en-US"/>
        </a:p>
      </dgm:t>
    </dgm:pt>
    <dgm:pt modelId="{9EFA8CAE-8DB2-4D89-BD73-E7844E338029}">
      <dgm:prSet/>
      <dgm:spPr>
        <a:solidFill>
          <a:srgbClr val="2D459C">
            <a:alpha val="90000"/>
          </a:srgbClr>
        </a:solidFill>
        <a:ln>
          <a:solidFill>
            <a:srgbClr val="E1EBF6">
              <a:alpha val="90000"/>
            </a:srgbClr>
          </a:solidFill>
        </a:ln>
      </dgm:spPr>
      <dgm:t>
        <a:bodyPr/>
        <a:lstStyle/>
        <a:p>
          <a:pPr>
            <a:buNone/>
          </a:pPr>
          <a:r>
            <a:rPr lang="en-US" dirty="0">
              <a:solidFill>
                <a:srgbClr val="E1EBF6"/>
              </a:solidFill>
              <a:latin typeface="PP Fragment Sans Medium" pitchFamily="50" charset="0"/>
              <a:ea typeface="PP Fragment Sans Medium" pitchFamily="50" charset="0"/>
            </a:rPr>
            <a:t>	Located within an Energy Community </a:t>
          </a:r>
        </a:p>
      </dgm:t>
    </dgm:pt>
    <dgm:pt modelId="{6066D7B0-47E9-4F98-B76D-D8DC0C130D63}" type="parTrans" cxnId="{82F23B46-99C0-4910-BDC5-07F658BF8EE0}">
      <dgm:prSet/>
      <dgm:spPr/>
      <dgm:t>
        <a:bodyPr/>
        <a:lstStyle/>
        <a:p>
          <a:endParaRPr lang="en-US"/>
        </a:p>
      </dgm:t>
    </dgm:pt>
    <dgm:pt modelId="{95FB4E78-E163-4FD2-B58C-1A8E649BABAB}" type="sibTrans" cxnId="{82F23B46-99C0-4910-BDC5-07F658BF8EE0}">
      <dgm:prSet/>
      <dgm:spPr/>
      <dgm:t>
        <a:bodyPr/>
        <a:lstStyle/>
        <a:p>
          <a:endParaRPr lang="en-US"/>
        </a:p>
      </dgm:t>
    </dgm:pt>
    <dgm:pt modelId="{5249BB9D-CA0F-4176-93A6-5AC63EA7CEEE}">
      <dgm:prSet/>
      <dgm:spPr>
        <a:solidFill>
          <a:srgbClr val="2D459C"/>
        </a:solidFill>
        <a:ln>
          <a:solidFill>
            <a:srgbClr val="1C2B62"/>
          </a:solidFill>
        </a:ln>
      </dgm:spPr>
      <dgm:t>
        <a:bodyPr/>
        <a:lstStyle/>
        <a:p>
          <a:r>
            <a:rPr lang="en-US" dirty="0">
              <a:solidFill>
                <a:srgbClr val="E1EBF6"/>
              </a:solidFill>
              <a:latin typeface="PP Fragment Glare Medium" pitchFamily="50" charset="0"/>
              <a:ea typeface="PP Fragment Glare Medium" pitchFamily="50" charset="0"/>
            </a:rPr>
            <a:t>70%</a:t>
          </a:r>
        </a:p>
      </dgm:t>
    </dgm:pt>
    <dgm:pt modelId="{3A5867DA-499B-499F-897F-16486B0364F3}" type="parTrans" cxnId="{86ACCCB4-7D6D-4A8A-ABA3-106462C54046}">
      <dgm:prSet/>
      <dgm:spPr/>
      <dgm:t>
        <a:bodyPr/>
        <a:lstStyle/>
        <a:p>
          <a:endParaRPr lang="en-US"/>
        </a:p>
      </dgm:t>
    </dgm:pt>
    <dgm:pt modelId="{FDA62DB9-36CD-48FA-8562-A6B5F4B59F7D}" type="sibTrans" cxnId="{86ACCCB4-7D6D-4A8A-ABA3-106462C54046}">
      <dgm:prSet/>
      <dgm:spPr/>
      <dgm:t>
        <a:bodyPr/>
        <a:lstStyle/>
        <a:p>
          <a:endParaRPr lang="en-US"/>
        </a:p>
      </dgm:t>
    </dgm:pt>
    <dgm:pt modelId="{71ED4FAE-ECE4-4F69-AC9D-70DF199D93EE}">
      <dgm:prSet custT="1"/>
      <dgm:spPr>
        <a:solidFill>
          <a:srgbClr val="E1EBF6">
            <a:alpha val="90000"/>
          </a:srgbClr>
        </a:solidFill>
        <a:ln>
          <a:solidFill>
            <a:srgbClr val="1C2B62">
              <a:alpha val="90000"/>
            </a:srgbClr>
          </a:solidFill>
        </a:ln>
      </dgm:spPr>
      <dgm:t>
        <a:bodyPr/>
        <a:lstStyle/>
        <a:p>
          <a:pPr algn="ctr">
            <a:buNone/>
          </a:pPr>
          <a:r>
            <a:rPr lang="en-US" sz="2400" u="dbl" baseline="0" dirty="0">
              <a:solidFill>
                <a:srgbClr val="1C2B62"/>
              </a:solidFill>
              <a:latin typeface="PP Fragment Glare Medium" pitchFamily="50" charset="0"/>
              <a:ea typeface="PP Fragment Glare Medium" pitchFamily="50" charset="0"/>
            </a:rPr>
            <a:t>Grand Total</a:t>
          </a:r>
        </a:p>
      </dgm:t>
    </dgm:pt>
    <dgm:pt modelId="{87CB8D74-872D-4743-BB43-29C675DCCEA8}" type="parTrans" cxnId="{FA19F315-6FCF-4C5F-AE85-CEE842DBB395}">
      <dgm:prSet/>
      <dgm:spPr/>
      <dgm:t>
        <a:bodyPr/>
        <a:lstStyle/>
        <a:p>
          <a:endParaRPr lang="en-US"/>
        </a:p>
      </dgm:t>
    </dgm:pt>
    <dgm:pt modelId="{9158705B-0480-4432-BA86-E6B16B5CB452}" type="sibTrans" cxnId="{FA19F315-6FCF-4C5F-AE85-CEE842DBB395}">
      <dgm:prSet/>
      <dgm:spPr/>
      <dgm:t>
        <a:bodyPr/>
        <a:lstStyle/>
        <a:p>
          <a:endParaRPr lang="en-US"/>
        </a:p>
      </dgm:t>
    </dgm:pt>
    <dgm:pt modelId="{51B0821D-3BCC-4240-8566-D0CCCA945FD3}" type="pres">
      <dgm:prSet presAssocID="{27CB3A52-E04A-4282-B91E-C4C940EBD6D6}" presName="Name0" presStyleCnt="0">
        <dgm:presLayoutVars>
          <dgm:dir/>
          <dgm:animLvl val="lvl"/>
          <dgm:resizeHandles val="exact"/>
        </dgm:presLayoutVars>
      </dgm:prSet>
      <dgm:spPr/>
    </dgm:pt>
    <dgm:pt modelId="{AC187779-951B-443E-B98A-1D6DB2FBB975}" type="pres">
      <dgm:prSet presAssocID="{EB751EE8-7798-46A7-BB89-AB8B56FE82D3}" presName="linNode" presStyleCnt="0"/>
      <dgm:spPr/>
    </dgm:pt>
    <dgm:pt modelId="{B3A877FB-BD4F-4A75-8306-1820EC81593C}" type="pres">
      <dgm:prSet presAssocID="{EB751EE8-7798-46A7-BB89-AB8B56FE82D3}" presName="parentText" presStyleLbl="node1" presStyleIdx="0" presStyleCnt="5">
        <dgm:presLayoutVars>
          <dgm:chMax val="1"/>
          <dgm:bulletEnabled val="1"/>
        </dgm:presLayoutVars>
      </dgm:prSet>
      <dgm:spPr/>
    </dgm:pt>
    <dgm:pt modelId="{266C9A48-A15D-46C7-8DBA-C7B1CFCAA528}" type="pres">
      <dgm:prSet presAssocID="{EB751EE8-7798-46A7-BB89-AB8B56FE82D3}" presName="descendantText" presStyleLbl="alignAccFollowNode1" presStyleIdx="0" presStyleCnt="5">
        <dgm:presLayoutVars>
          <dgm:bulletEnabled val="1"/>
        </dgm:presLayoutVars>
      </dgm:prSet>
      <dgm:spPr/>
    </dgm:pt>
    <dgm:pt modelId="{A731F8A0-6C78-4999-B0BF-6418C18A7CA2}" type="pres">
      <dgm:prSet presAssocID="{87E1A0DB-D4F6-4B79-8C9B-8013FE2A7ED2}" presName="sp" presStyleCnt="0"/>
      <dgm:spPr/>
    </dgm:pt>
    <dgm:pt modelId="{49092C39-B685-4BDF-8142-8614E85A3AAB}" type="pres">
      <dgm:prSet presAssocID="{9CE97B2B-7F6F-41F2-8B25-12F81105A64D}" presName="linNode" presStyleCnt="0"/>
      <dgm:spPr/>
    </dgm:pt>
    <dgm:pt modelId="{CDB05AB3-5081-4341-BAAE-415462C77C62}" type="pres">
      <dgm:prSet presAssocID="{9CE97B2B-7F6F-41F2-8B25-12F81105A64D}" presName="parentText" presStyleLbl="node1" presStyleIdx="1" presStyleCnt="5">
        <dgm:presLayoutVars>
          <dgm:chMax val="1"/>
          <dgm:bulletEnabled val="1"/>
        </dgm:presLayoutVars>
      </dgm:prSet>
      <dgm:spPr/>
    </dgm:pt>
    <dgm:pt modelId="{A613B644-F4EB-4AA6-8AF8-BE561ECA5F78}" type="pres">
      <dgm:prSet presAssocID="{9CE97B2B-7F6F-41F2-8B25-12F81105A64D}" presName="descendantText" presStyleLbl="alignAccFollowNode1" presStyleIdx="1" presStyleCnt="5">
        <dgm:presLayoutVars>
          <dgm:bulletEnabled val="1"/>
        </dgm:presLayoutVars>
      </dgm:prSet>
      <dgm:spPr/>
    </dgm:pt>
    <dgm:pt modelId="{AAEDFB7D-65C8-48E9-ACD7-C51D90B47A03}" type="pres">
      <dgm:prSet presAssocID="{16E999C2-7ADB-46CE-A509-1EF2CD1F25D4}" presName="sp" presStyleCnt="0"/>
      <dgm:spPr/>
    </dgm:pt>
    <dgm:pt modelId="{E52F5B52-B31D-42F3-A21D-060BF05DFF05}" type="pres">
      <dgm:prSet presAssocID="{042FE387-C026-462D-9E87-7FB30ADA52CF}" presName="linNode" presStyleCnt="0"/>
      <dgm:spPr/>
    </dgm:pt>
    <dgm:pt modelId="{F59A0644-5F4F-418A-9C5C-954131C639A2}" type="pres">
      <dgm:prSet presAssocID="{042FE387-C026-462D-9E87-7FB30ADA52CF}" presName="parentText" presStyleLbl="node1" presStyleIdx="2" presStyleCnt="5">
        <dgm:presLayoutVars>
          <dgm:chMax val="1"/>
          <dgm:bulletEnabled val="1"/>
        </dgm:presLayoutVars>
      </dgm:prSet>
      <dgm:spPr/>
    </dgm:pt>
    <dgm:pt modelId="{6E8B4677-C773-4520-AA73-7DFE62649220}" type="pres">
      <dgm:prSet presAssocID="{042FE387-C026-462D-9E87-7FB30ADA52CF}" presName="descendantText" presStyleLbl="alignAccFollowNode1" presStyleIdx="2" presStyleCnt="5">
        <dgm:presLayoutVars>
          <dgm:bulletEnabled val="1"/>
        </dgm:presLayoutVars>
      </dgm:prSet>
      <dgm:spPr/>
    </dgm:pt>
    <dgm:pt modelId="{9FE9D4BD-C652-4DB2-82A9-497E75258B58}" type="pres">
      <dgm:prSet presAssocID="{E358D7AB-3E6C-4009-8599-9F9C1C1B18BB}" presName="sp" presStyleCnt="0"/>
      <dgm:spPr/>
    </dgm:pt>
    <dgm:pt modelId="{E9815C58-3F30-4294-B616-D49413E7CE59}" type="pres">
      <dgm:prSet presAssocID="{6BA9A5FD-4823-434A-9DCA-7FD35FD39C84}" presName="linNode" presStyleCnt="0"/>
      <dgm:spPr/>
    </dgm:pt>
    <dgm:pt modelId="{496BAF5D-0E69-411A-B21B-0E1E91833F66}" type="pres">
      <dgm:prSet presAssocID="{6BA9A5FD-4823-434A-9DCA-7FD35FD39C84}" presName="parentText" presStyleLbl="node1" presStyleIdx="3" presStyleCnt="5">
        <dgm:presLayoutVars>
          <dgm:chMax val="1"/>
          <dgm:bulletEnabled val="1"/>
        </dgm:presLayoutVars>
      </dgm:prSet>
      <dgm:spPr/>
    </dgm:pt>
    <dgm:pt modelId="{907CD2AE-2BB2-497E-9E75-8A0DBE162E1D}" type="pres">
      <dgm:prSet presAssocID="{6BA9A5FD-4823-434A-9DCA-7FD35FD39C84}" presName="descendantText" presStyleLbl="alignAccFollowNode1" presStyleIdx="3" presStyleCnt="5">
        <dgm:presLayoutVars>
          <dgm:bulletEnabled val="1"/>
        </dgm:presLayoutVars>
      </dgm:prSet>
      <dgm:spPr/>
    </dgm:pt>
    <dgm:pt modelId="{11360A6B-FDCB-4755-A8B0-D20AC91154CB}" type="pres">
      <dgm:prSet presAssocID="{FE89F4FE-C0AE-4241-8A3A-37DD7F077852}" presName="sp" presStyleCnt="0"/>
      <dgm:spPr/>
    </dgm:pt>
    <dgm:pt modelId="{7F2BA2F4-D4D3-4813-A9B5-B5CE590F8523}" type="pres">
      <dgm:prSet presAssocID="{5249BB9D-CA0F-4176-93A6-5AC63EA7CEEE}" presName="linNode" presStyleCnt="0"/>
      <dgm:spPr/>
    </dgm:pt>
    <dgm:pt modelId="{A976D9EF-931F-4B7B-84DE-C9C6B8F8D667}" type="pres">
      <dgm:prSet presAssocID="{5249BB9D-CA0F-4176-93A6-5AC63EA7CEEE}" presName="parentText" presStyleLbl="node1" presStyleIdx="4" presStyleCnt="5">
        <dgm:presLayoutVars>
          <dgm:chMax val="1"/>
          <dgm:bulletEnabled val="1"/>
        </dgm:presLayoutVars>
      </dgm:prSet>
      <dgm:spPr/>
    </dgm:pt>
    <dgm:pt modelId="{632D0887-19DD-41A2-98A2-AD1D840B0ACC}" type="pres">
      <dgm:prSet presAssocID="{5249BB9D-CA0F-4176-93A6-5AC63EA7CEEE}" presName="descendantText" presStyleLbl="alignAccFollowNode1" presStyleIdx="4" presStyleCnt="5">
        <dgm:presLayoutVars>
          <dgm:bulletEnabled val="1"/>
        </dgm:presLayoutVars>
      </dgm:prSet>
      <dgm:spPr/>
    </dgm:pt>
  </dgm:ptLst>
  <dgm:cxnLst>
    <dgm:cxn modelId="{FA19F315-6FCF-4C5F-AE85-CEE842DBB395}" srcId="{5249BB9D-CA0F-4176-93A6-5AC63EA7CEEE}" destId="{71ED4FAE-ECE4-4F69-AC9D-70DF199D93EE}" srcOrd="0" destOrd="0" parTransId="{87CB8D74-872D-4743-BB43-29C675DCCEA8}" sibTransId="{9158705B-0480-4432-BA86-E6B16B5CB452}"/>
    <dgm:cxn modelId="{C464E925-1402-40E2-BB84-C93CF089EDCA}" type="presOf" srcId="{9CE97B2B-7F6F-41F2-8B25-12F81105A64D}" destId="{CDB05AB3-5081-4341-BAAE-415462C77C62}" srcOrd="0" destOrd="0" presId="urn:microsoft.com/office/officeart/2005/8/layout/vList5"/>
    <dgm:cxn modelId="{52093126-6383-45F5-B7E5-B44E48F73A00}" type="presOf" srcId="{71ED4FAE-ECE4-4F69-AC9D-70DF199D93EE}" destId="{632D0887-19DD-41A2-98A2-AD1D840B0ACC}" srcOrd="0" destOrd="0" presId="urn:microsoft.com/office/officeart/2005/8/layout/vList5"/>
    <dgm:cxn modelId="{8DC0E82B-124C-4AF0-8F64-A90384878EF1}" srcId="{27CB3A52-E04A-4282-B91E-C4C940EBD6D6}" destId="{042FE387-C026-462D-9E87-7FB30ADA52CF}" srcOrd="2" destOrd="0" parTransId="{BF3BA599-588A-492A-AB91-02EBEA88FB59}" sibTransId="{E358D7AB-3E6C-4009-8599-9F9C1C1B18BB}"/>
    <dgm:cxn modelId="{B6A9CE64-0C34-4968-AC9D-827166268C71}" type="presOf" srcId="{9EFA8CAE-8DB2-4D89-BD73-E7844E338029}" destId="{907CD2AE-2BB2-497E-9E75-8A0DBE162E1D}" srcOrd="0" destOrd="0" presId="urn:microsoft.com/office/officeart/2005/8/layout/vList5"/>
    <dgm:cxn modelId="{82F23B46-99C0-4910-BDC5-07F658BF8EE0}" srcId="{6BA9A5FD-4823-434A-9DCA-7FD35FD39C84}" destId="{9EFA8CAE-8DB2-4D89-BD73-E7844E338029}" srcOrd="0" destOrd="0" parTransId="{6066D7B0-47E9-4F98-B76D-D8DC0C130D63}" sibTransId="{95FB4E78-E163-4FD2-B58C-1A8E649BABAB}"/>
    <dgm:cxn modelId="{9C38FF66-5278-4E95-8DBA-B130241E4F70}" srcId="{27CB3A52-E04A-4282-B91E-C4C940EBD6D6}" destId="{EB751EE8-7798-46A7-BB89-AB8B56FE82D3}" srcOrd="0" destOrd="0" parTransId="{4D438836-22B3-474A-BCDD-2BE71EB77294}" sibTransId="{87E1A0DB-D4F6-4B79-8C9B-8013FE2A7ED2}"/>
    <dgm:cxn modelId="{D4C61D68-371B-4767-9365-6E4449AF91CA}" srcId="{9CE97B2B-7F6F-41F2-8B25-12F81105A64D}" destId="{F2ACC94D-A3C2-4722-8D8A-1C61D9FDF9FF}" srcOrd="0" destOrd="0" parTransId="{D7B6FCF7-C6CB-4821-8271-EB78B0F3211E}" sibTransId="{2208C61C-D70A-4D83-AED4-960E96B1756C}"/>
    <dgm:cxn modelId="{D2CCEE72-A452-4CE9-B435-99833543D1A3}" srcId="{042FE387-C026-462D-9E87-7FB30ADA52CF}" destId="{052A5456-488F-44E1-97E4-BCC327F26187}" srcOrd="0" destOrd="0" parTransId="{F051F766-D06E-427B-8BC7-96CDB424D4E0}" sibTransId="{944A5481-4BA7-48A2-8BEB-C11FBF6CDD76}"/>
    <dgm:cxn modelId="{F7562E88-6B51-4A33-8B88-3433D1EADD88}" srcId="{EB751EE8-7798-46A7-BB89-AB8B56FE82D3}" destId="{47F9FF72-364F-45A5-A758-E9A184326610}" srcOrd="0" destOrd="0" parTransId="{FB05E389-EF14-4511-9CAA-A83B99C8CDCB}" sibTransId="{1A33586F-B3E7-483D-B88A-E7242A04B58F}"/>
    <dgm:cxn modelId="{D435078F-9136-4511-96A0-8C14AF37D746}" type="presOf" srcId="{042FE387-C026-462D-9E87-7FB30ADA52CF}" destId="{F59A0644-5F4F-418A-9C5C-954131C639A2}" srcOrd="0" destOrd="0" presId="urn:microsoft.com/office/officeart/2005/8/layout/vList5"/>
    <dgm:cxn modelId="{26767290-7C00-4A3F-9750-050FE79229B0}" type="presOf" srcId="{F2ACC94D-A3C2-4722-8D8A-1C61D9FDF9FF}" destId="{A613B644-F4EB-4AA6-8AF8-BE561ECA5F78}" srcOrd="0" destOrd="0" presId="urn:microsoft.com/office/officeart/2005/8/layout/vList5"/>
    <dgm:cxn modelId="{DE1BACB0-4999-41AB-A0D6-393C515215D3}" type="presOf" srcId="{052A5456-488F-44E1-97E4-BCC327F26187}" destId="{6E8B4677-C773-4520-AA73-7DFE62649220}" srcOrd="0" destOrd="0" presId="urn:microsoft.com/office/officeart/2005/8/layout/vList5"/>
    <dgm:cxn modelId="{86ACCCB4-7D6D-4A8A-ABA3-106462C54046}" srcId="{27CB3A52-E04A-4282-B91E-C4C940EBD6D6}" destId="{5249BB9D-CA0F-4176-93A6-5AC63EA7CEEE}" srcOrd="4" destOrd="0" parTransId="{3A5867DA-499B-499F-897F-16486B0364F3}" sibTransId="{FDA62DB9-36CD-48FA-8562-A6B5F4B59F7D}"/>
    <dgm:cxn modelId="{1C3AE3C6-C377-433E-B491-9E483ED9E3B6}" type="presOf" srcId="{5249BB9D-CA0F-4176-93A6-5AC63EA7CEEE}" destId="{A976D9EF-931F-4B7B-84DE-C9C6B8F8D667}" srcOrd="0" destOrd="0" presId="urn:microsoft.com/office/officeart/2005/8/layout/vList5"/>
    <dgm:cxn modelId="{2C3A69C7-55AA-43A4-B64F-FFB9F7E7C68B}" type="presOf" srcId="{6BA9A5FD-4823-434A-9DCA-7FD35FD39C84}" destId="{496BAF5D-0E69-411A-B21B-0E1E91833F66}" srcOrd="0" destOrd="0" presId="urn:microsoft.com/office/officeart/2005/8/layout/vList5"/>
    <dgm:cxn modelId="{F295AFD1-8553-4E7A-8D7F-50B84D1094BF}" srcId="{27CB3A52-E04A-4282-B91E-C4C940EBD6D6}" destId="{9CE97B2B-7F6F-41F2-8B25-12F81105A64D}" srcOrd="1" destOrd="0" parTransId="{C60BF9D3-5C0B-4964-8EC6-8C57DBBC5759}" sibTransId="{16E999C2-7ADB-46CE-A509-1EF2CD1F25D4}"/>
    <dgm:cxn modelId="{D24002EF-A10A-4831-984C-C1869DAB200B}" type="presOf" srcId="{47F9FF72-364F-45A5-A758-E9A184326610}" destId="{266C9A48-A15D-46C7-8DBA-C7B1CFCAA528}" srcOrd="0" destOrd="0" presId="urn:microsoft.com/office/officeart/2005/8/layout/vList5"/>
    <dgm:cxn modelId="{036A53EF-DF8A-4914-A0F8-2318A1630538}" type="presOf" srcId="{EB751EE8-7798-46A7-BB89-AB8B56FE82D3}" destId="{B3A877FB-BD4F-4A75-8306-1820EC81593C}" srcOrd="0" destOrd="0" presId="urn:microsoft.com/office/officeart/2005/8/layout/vList5"/>
    <dgm:cxn modelId="{A8318EF3-6723-4F4F-A276-5A9C89E9F6B9}" type="presOf" srcId="{27CB3A52-E04A-4282-B91E-C4C940EBD6D6}" destId="{51B0821D-3BCC-4240-8566-D0CCCA945FD3}" srcOrd="0" destOrd="0" presId="urn:microsoft.com/office/officeart/2005/8/layout/vList5"/>
    <dgm:cxn modelId="{2EC4CAF5-80AC-4B03-B89A-19ABABE04E15}" srcId="{27CB3A52-E04A-4282-B91E-C4C940EBD6D6}" destId="{6BA9A5FD-4823-434A-9DCA-7FD35FD39C84}" srcOrd="3" destOrd="0" parTransId="{36C48C76-052F-4E72-8C29-BE845C4CAD10}" sibTransId="{FE89F4FE-C0AE-4241-8A3A-37DD7F077852}"/>
    <dgm:cxn modelId="{13298357-1A11-4329-807F-A7FB15930AEE}" type="presParOf" srcId="{51B0821D-3BCC-4240-8566-D0CCCA945FD3}" destId="{AC187779-951B-443E-B98A-1D6DB2FBB975}" srcOrd="0" destOrd="0" presId="urn:microsoft.com/office/officeart/2005/8/layout/vList5"/>
    <dgm:cxn modelId="{6D8B95F2-6FF7-4C7F-A82E-896584C6AC41}" type="presParOf" srcId="{AC187779-951B-443E-B98A-1D6DB2FBB975}" destId="{B3A877FB-BD4F-4A75-8306-1820EC81593C}" srcOrd="0" destOrd="0" presId="urn:microsoft.com/office/officeart/2005/8/layout/vList5"/>
    <dgm:cxn modelId="{D8A605FE-2D87-457F-A6E0-67E268DB4591}" type="presParOf" srcId="{AC187779-951B-443E-B98A-1D6DB2FBB975}" destId="{266C9A48-A15D-46C7-8DBA-C7B1CFCAA528}" srcOrd="1" destOrd="0" presId="urn:microsoft.com/office/officeart/2005/8/layout/vList5"/>
    <dgm:cxn modelId="{C619979C-E0E8-49C1-B725-F09EE31A8192}" type="presParOf" srcId="{51B0821D-3BCC-4240-8566-D0CCCA945FD3}" destId="{A731F8A0-6C78-4999-B0BF-6418C18A7CA2}" srcOrd="1" destOrd="0" presId="urn:microsoft.com/office/officeart/2005/8/layout/vList5"/>
    <dgm:cxn modelId="{AC07671C-CF7E-499B-AAE7-44F6E176FD37}" type="presParOf" srcId="{51B0821D-3BCC-4240-8566-D0CCCA945FD3}" destId="{49092C39-B685-4BDF-8142-8614E85A3AAB}" srcOrd="2" destOrd="0" presId="urn:microsoft.com/office/officeart/2005/8/layout/vList5"/>
    <dgm:cxn modelId="{BECF296C-D553-4950-83A2-D4DE7C9186DC}" type="presParOf" srcId="{49092C39-B685-4BDF-8142-8614E85A3AAB}" destId="{CDB05AB3-5081-4341-BAAE-415462C77C62}" srcOrd="0" destOrd="0" presId="urn:microsoft.com/office/officeart/2005/8/layout/vList5"/>
    <dgm:cxn modelId="{2251A16D-37C0-49BA-9773-F3A400DF64D7}" type="presParOf" srcId="{49092C39-B685-4BDF-8142-8614E85A3AAB}" destId="{A613B644-F4EB-4AA6-8AF8-BE561ECA5F78}" srcOrd="1" destOrd="0" presId="urn:microsoft.com/office/officeart/2005/8/layout/vList5"/>
    <dgm:cxn modelId="{8E6B96C5-0396-4A1E-BC04-5D20F7569B4A}" type="presParOf" srcId="{51B0821D-3BCC-4240-8566-D0CCCA945FD3}" destId="{AAEDFB7D-65C8-48E9-ACD7-C51D90B47A03}" srcOrd="3" destOrd="0" presId="urn:microsoft.com/office/officeart/2005/8/layout/vList5"/>
    <dgm:cxn modelId="{470580CF-466E-4AA3-BB3D-ACB4439CA187}" type="presParOf" srcId="{51B0821D-3BCC-4240-8566-D0CCCA945FD3}" destId="{E52F5B52-B31D-42F3-A21D-060BF05DFF05}" srcOrd="4" destOrd="0" presId="urn:microsoft.com/office/officeart/2005/8/layout/vList5"/>
    <dgm:cxn modelId="{0E59EB29-E5D1-4D48-85A6-79EF91872EA4}" type="presParOf" srcId="{E52F5B52-B31D-42F3-A21D-060BF05DFF05}" destId="{F59A0644-5F4F-418A-9C5C-954131C639A2}" srcOrd="0" destOrd="0" presId="urn:microsoft.com/office/officeart/2005/8/layout/vList5"/>
    <dgm:cxn modelId="{2D019FD1-38F8-4326-B94D-8EDD4116E301}" type="presParOf" srcId="{E52F5B52-B31D-42F3-A21D-060BF05DFF05}" destId="{6E8B4677-C773-4520-AA73-7DFE62649220}" srcOrd="1" destOrd="0" presId="urn:microsoft.com/office/officeart/2005/8/layout/vList5"/>
    <dgm:cxn modelId="{2B559A7D-96B5-4B0E-B2D7-61A2F554F25A}" type="presParOf" srcId="{51B0821D-3BCC-4240-8566-D0CCCA945FD3}" destId="{9FE9D4BD-C652-4DB2-82A9-497E75258B58}" srcOrd="5" destOrd="0" presId="urn:microsoft.com/office/officeart/2005/8/layout/vList5"/>
    <dgm:cxn modelId="{31AE0D52-F625-440B-855D-721E88BC2430}" type="presParOf" srcId="{51B0821D-3BCC-4240-8566-D0CCCA945FD3}" destId="{E9815C58-3F30-4294-B616-D49413E7CE59}" srcOrd="6" destOrd="0" presId="urn:microsoft.com/office/officeart/2005/8/layout/vList5"/>
    <dgm:cxn modelId="{E6D9FD39-EB55-4DA5-A644-B2B663D6CD8F}" type="presParOf" srcId="{E9815C58-3F30-4294-B616-D49413E7CE59}" destId="{496BAF5D-0E69-411A-B21B-0E1E91833F66}" srcOrd="0" destOrd="0" presId="urn:microsoft.com/office/officeart/2005/8/layout/vList5"/>
    <dgm:cxn modelId="{822682E8-3D4B-43FB-90CC-9DDCF5F8F298}" type="presParOf" srcId="{E9815C58-3F30-4294-B616-D49413E7CE59}" destId="{907CD2AE-2BB2-497E-9E75-8A0DBE162E1D}" srcOrd="1" destOrd="0" presId="urn:microsoft.com/office/officeart/2005/8/layout/vList5"/>
    <dgm:cxn modelId="{9DEB255A-4AED-4CF9-8C49-72458ABCF6E6}" type="presParOf" srcId="{51B0821D-3BCC-4240-8566-D0CCCA945FD3}" destId="{11360A6B-FDCB-4755-A8B0-D20AC91154CB}" srcOrd="7" destOrd="0" presId="urn:microsoft.com/office/officeart/2005/8/layout/vList5"/>
    <dgm:cxn modelId="{2642F550-DC0F-42D2-86A1-E3C9178D9CEB}" type="presParOf" srcId="{51B0821D-3BCC-4240-8566-D0CCCA945FD3}" destId="{7F2BA2F4-D4D3-4813-A9B5-B5CE590F8523}" srcOrd="8" destOrd="0" presId="urn:microsoft.com/office/officeart/2005/8/layout/vList5"/>
    <dgm:cxn modelId="{B6937A67-2270-48B3-BAB3-0C4AF196AB64}" type="presParOf" srcId="{7F2BA2F4-D4D3-4813-A9B5-B5CE590F8523}" destId="{A976D9EF-931F-4B7B-84DE-C9C6B8F8D667}" srcOrd="0" destOrd="0" presId="urn:microsoft.com/office/officeart/2005/8/layout/vList5"/>
    <dgm:cxn modelId="{86B90C9F-9BED-40E1-AD23-457F779AD25D}" type="presParOf" srcId="{7F2BA2F4-D4D3-4813-A9B5-B5CE590F8523}" destId="{632D0887-19DD-41A2-98A2-AD1D840B0ACC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6C9A48-A15D-46C7-8DBA-C7B1CFCAA528}">
      <dsp:nvSpPr>
        <dsp:cNvPr id="0" name=""/>
        <dsp:cNvSpPr/>
      </dsp:nvSpPr>
      <dsp:spPr>
        <a:xfrm rot="5400000">
          <a:off x="3852633" y="-1664602"/>
          <a:ext cx="378029" cy="3803904"/>
        </a:xfrm>
        <a:prstGeom prst="round2SameRect">
          <a:avLst/>
        </a:prstGeom>
        <a:solidFill>
          <a:srgbClr val="2D459C">
            <a:alpha val="90000"/>
          </a:srgbClr>
        </a:solidFill>
        <a:ln w="12700" cap="flat" cmpd="sng" algn="ctr">
          <a:solidFill>
            <a:srgbClr val="E1EBF6">
              <a:alpha val="9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FontTx/>
            <a:buNone/>
          </a:pPr>
          <a:r>
            <a:rPr lang="en-US" sz="1200" kern="1200" dirty="0">
              <a:solidFill>
                <a:srgbClr val="E1EBF6"/>
              </a:solidFill>
              <a:latin typeface="PP Fragment Sans Medium" pitchFamily="50" charset="0"/>
              <a:ea typeface="PP Fragment Sans Medium" pitchFamily="50" charset="0"/>
            </a:rPr>
            <a:t>	Complies with Prevailing Wage and Apprenticeship Rules </a:t>
          </a:r>
        </a:p>
      </dsp:txBody>
      <dsp:txXfrm rot="-5400000">
        <a:off x="2139696" y="66789"/>
        <a:ext cx="3785450" cy="341121"/>
      </dsp:txXfrm>
    </dsp:sp>
    <dsp:sp modelId="{B3A877FB-BD4F-4A75-8306-1820EC81593C}">
      <dsp:nvSpPr>
        <dsp:cNvPr id="0" name=""/>
        <dsp:cNvSpPr/>
      </dsp:nvSpPr>
      <dsp:spPr>
        <a:xfrm>
          <a:off x="0" y="1080"/>
          <a:ext cx="2139696" cy="472537"/>
        </a:xfrm>
        <a:prstGeom prst="roundRect">
          <a:avLst/>
        </a:prstGeom>
        <a:solidFill>
          <a:srgbClr val="1C2B62"/>
        </a:solidFill>
        <a:ln w="12700" cap="flat" cmpd="sng" algn="ctr">
          <a:solidFill>
            <a:srgbClr val="E1EBF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45720" rIns="91440" bIns="4572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 dirty="0">
              <a:solidFill>
                <a:srgbClr val="E1EBF6"/>
              </a:solidFill>
              <a:latin typeface="PP Fragment Sans Medium" pitchFamily="50" charset="0"/>
              <a:ea typeface="PP Fragment Sans Medium" pitchFamily="50" charset="0"/>
            </a:rPr>
            <a:t>30%</a:t>
          </a:r>
        </a:p>
      </dsp:txBody>
      <dsp:txXfrm>
        <a:off x="23067" y="24147"/>
        <a:ext cx="2093562" cy="426403"/>
      </dsp:txXfrm>
    </dsp:sp>
    <dsp:sp modelId="{A613B644-F4EB-4AA6-8AF8-BE561ECA5F78}">
      <dsp:nvSpPr>
        <dsp:cNvPr id="0" name=""/>
        <dsp:cNvSpPr/>
      </dsp:nvSpPr>
      <dsp:spPr>
        <a:xfrm rot="5400000">
          <a:off x="3852633" y="-1168438"/>
          <a:ext cx="378029" cy="3803904"/>
        </a:xfrm>
        <a:prstGeom prst="round2SameRect">
          <a:avLst/>
        </a:prstGeom>
        <a:solidFill>
          <a:srgbClr val="2D459C">
            <a:alpha val="90000"/>
          </a:srgbClr>
        </a:solidFill>
        <a:ln w="12700" cap="flat" cmpd="sng" algn="ctr">
          <a:solidFill>
            <a:srgbClr val="E1EBF6">
              <a:alpha val="9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US" sz="1200" kern="1200" dirty="0">
              <a:solidFill>
                <a:srgbClr val="E1EBF6"/>
              </a:solidFill>
              <a:latin typeface="PP Fragment Sans Medium" pitchFamily="50" charset="0"/>
              <a:ea typeface="PP Fragment Sans Medium" pitchFamily="50" charset="0"/>
            </a:rPr>
            <a:t>	Occurs in or Benefits a Low Income Community </a:t>
          </a:r>
        </a:p>
      </dsp:txBody>
      <dsp:txXfrm rot="-5400000">
        <a:off x="2139696" y="562953"/>
        <a:ext cx="3785450" cy="341121"/>
      </dsp:txXfrm>
    </dsp:sp>
    <dsp:sp modelId="{CDB05AB3-5081-4341-BAAE-415462C77C62}">
      <dsp:nvSpPr>
        <dsp:cNvPr id="0" name=""/>
        <dsp:cNvSpPr/>
      </dsp:nvSpPr>
      <dsp:spPr>
        <a:xfrm>
          <a:off x="0" y="497244"/>
          <a:ext cx="2139696" cy="472537"/>
        </a:xfrm>
        <a:prstGeom prst="roundRect">
          <a:avLst/>
        </a:prstGeom>
        <a:solidFill>
          <a:srgbClr val="1C2B62"/>
        </a:solidFill>
        <a:ln w="12700" cap="flat" cmpd="sng" algn="ctr">
          <a:solidFill>
            <a:srgbClr val="E1EBF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45720" rIns="91440" bIns="4572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 dirty="0">
              <a:solidFill>
                <a:srgbClr val="E1EBF6"/>
              </a:solidFill>
              <a:latin typeface="PP Fragment Sans Medium" pitchFamily="50" charset="0"/>
              <a:ea typeface="PP Fragment Sans Medium" pitchFamily="50" charset="0"/>
            </a:rPr>
            <a:t>20%</a:t>
          </a:r>
        </a:p>
      </dsp:txBody>
      <dsp:txXfrm>
        <a:off x="23067" y="520311"/>
        <a:ext cx="2093562" cy="426403"/>
      </dsp:txXfrm>
    </dsp:sp>
    <dsp:sp modelId="{6E8B4677-C773-4520-AA73-7DFE62649220}">
      <dsp:nvSpPr>
        <dsp:cNvPr id="0" name=""/>
        <dsp:cNvSpPr/>
      </dsp:nvSpPr>
      <dsp:spPr>
        <a:xfrm rot="5400000">
          <a:off x="3852633" y="-672274"/>
          <a:ext cx="378029" cy="3803904"/>
        </a:xfrm>
        <a:prstGeom prst="round2SameRect">
          <a:avLst/>
        </a:prstGeom>
        <a:solidFill>
          <a:srgbClr val="2D459C">
            <a:alpha val="90000"/>
          </a:srgbClr>
        </a:solidFill>
        <a:ln w="12700" cap="flat" cmpd="sng" algn="ctr">
          <a:solidFill>
            <a:srgbClr val="E1EBF6">
              <a:alpha val="9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US" sz="1200" kern="1200" dirty="0">
              <a:solidFill>
                <a:srgbClr val="E1EBF6"/>
              </a:solidFill>
              <a:latin typeface="PP Fragment Sans Medium" pitchFamily="50" charset="0"/>
              <a:ea typeface="PP Fragment Sans Medium" pitchFamily="50" charset="0"/>
            </a:rPr>
            <a:t>	Meets Domestic Content Requirement </a:t>
          </a:r>
        </a:p>
      </dsp:txBody>
      <dsp:txXfrm rot="-5400000">
        <a:off x="2139696" y="1059117"/>
        <a:ext cx="3785450" cy="341121"/>
      </dsp:txXfrm>
    </dsp:sp>
    <dsp:sp modelId="{F59A0644-5F4F-418A-9C5C-954131C639A2}">
      <dsp:nvSpPr>
        <dsp:cNvPr id="0" name=""/>
        <dsp:cNvSpPr/>
      </dsp:nvSpPr>
      <dsp:spPr>
        <a:xfrm>
          <a:off x="0" y="993408"/>
          <a:ext cx="2139696" cy="472537"/>
        </a:xfrm>
        <a:prstGeom prst="roundRect">
          <a:avLst/>
        </a:prstGeom>
        <a:solidFill>
          <a:srgbClr val="1C2B62"/>
        </a:solidFill>
        <a:ln w="12700" cap="flat" cmpd="sng" algn="ctr">
          <a:solidFill>
            <a:srgbClr val="E1EBF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45720" rIns="91440" bIns="4572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 dirty="0">
              <a:solidFill>
                <a:srgbClr val="E1EBF6"/>
              </a:solidFill>
              <a:latin typeface="PP Fragment Sans Medium" pitchFamily="50" charset="0"/>
              <a:ea typeface="PP Fragment Sans Medium" pitchFamily="50" charset="0"/>
            </a:rPr>
            <a:t>10%</a:t>
          </a:r>
        </a:p>
      </dsp:txBody>
      <dsp:txXfrm>
        <a:off x="23067" y="1016475"/>
        <a:ext cx="2093562" cy="426403"/>
      </dsp:txXfrm>
    </dsp:sp>
    <dsp:sp modelId="{907CD2AE-2BB2-497E-9E75-8A0DBE162E1D}">
      <dsp:nvSpPr>
        <dsp:cNvPr id="0" name=""/>
        <dsp:cNvSpPr/>
      </dsp:nvSpPr>
      <dsp:spPr>
        <a:xfrm rot="5400000">
          <a:off x="3852633" y="-176110"/>
          <a:ext cx="378029" cy="3803904"/>
        </a:xfrm>
        <a:prstGeom prst="round2SameRect">
          <a:avLst/>
        </a:prstGeom>
        <a:solidFill>
          <a:srgbClr val="2D459C">
            <a:alpha val="90000"/>
          </a:srgbClr>
        </a:solidFill>
        <a:ln w="12700" cap="flat" cmpd="sng" algn="ctr">
          <a:solidFill>
            <a:srgbClr val="E1EBF6">
              <a:alpha val="9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US" sz="1200" kern="1200" dirty="0">
              <a:solidFill>
                <a:srgbClr val="E1EBF6"/>
              </a:solidFill>
              <a:latin typeface="PP Fragment Sans Medium" pitchFamily="50" charset="0"/>
              <a:ea typeface="PP Fragment Sans Medium" pitchFamily="50" charset="0"/>
            </a:rPr>
            <a:t>	Located within an Energy Community </a:t>
          </a:r>
        </a:p>
      </dsp:txBody>
      <dsp:txXfrm rot="-5400000">
        <a:off x="2139696" y="1555281"/>
        <a:ext cx="3785450" cy="341121"/>
      </dsp:txXfrm>
    </dsp:sp>
    <dsp:sp modelId="{496BAF5D-0E69-411A-B21B-0E1E91833F66}">
      <dsp:nvSpPr>
        <dsp:cNvPr id="0" name=""/>
        <dsp:cNvSpPr/>
      </dsp:nvSpPr>
      <dsp:spPr>
        <a:xfrm>
          <a:off x="0" y="1489572"/>
          <a:ext cx="2139696" cy="472537"/>
        </a:xfrm>
        <a:prstGeom prst="roundRect">
          <a:avLst/>
        </a:prstGeom>
        <a:solidFill>
          <a:srgbClr val="1C2B62"/>
        </a:solidFill>
        <a:ln w="12700" cap="flat" cmpd="sng" algn="ctr">
          <a:solidFill>
            <a:srgbClr val="E1EBF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45720" rIns="91440" bIns="4572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 dirty="0">
              <a:solidFill>
                <a:srgbClr val="E1EBF6"/>
              </a:solidFill>
              <a:latin typeface="PP Fragment Sans Medium" pitchFamily="50" charset="0"/>
              <a:ea typeface="PP Fragment Sans Medium" pitchFamily="50" charset="0"/>
            </a:rPr>
            <a:t>10%</a:t>
          </a:r>
        </a:p>
      </dsp:txBody>
      <dsp:txXfrm>
        <a:off x="23067" y="1512639"/>
        <a:ext cx="2093562" cy="426403"/>
      </dsp:txXfrm>
    </dsp:sp>
    <dsp:sp modelId="{632D0887-19DD-41A2-98A2-AD1D840B0ACC}">
      <dsp:nvSpPr>
        <dsp:cNvPr id="0" name=""/>
        <dsp:cNvSpPr/>
      </dsp:nvSpPr>
      <dsp:spPr>
        <a:xfrm rot="5400000">
          <a:off x="3852633" y="320053"/>
          <a:ext cx="378029" cy="3803904"/>
        </a:xfrm>
        <a:prstGeom prst="round2SameRect">
          <a:avLst/>
        </a:prstGeom>
        <a:solidFill>
          <a:srgbClr val="E1EBF6">
            <a:alpha val="90000"/>
          </a:srgbClr>
        </a:solidFill>
        <a:ln w="12700" cap="flat" cmpd="sng" algn="ctr">
          <a:solidFill>
            <a:srgbClr val="1C2B62">
              <a:alpha val="9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228600" lvl="1" indent="-228600" algn="ctr" defTabSz="10668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US" sz="2400" u="dbl" kern="1200" baseline="0" dirty="0">
              <a:solidFill>
                <a:srgbClr val="1C2B62"/>
              </a:solidFill>
              <a:latin typeface="PP Fragment Glare Medium" pitchFamily="50" charset="0"/>
              <a:ea typeface="PP Fragment Glare Medium" pitchFamily="50" charset="0"/>
            </a:rPr>
            <a:t>Grand Total</a:t>
          </a:r>
        </a:p>
      </dsp:txBody>
      <dsp:txXfrm rot="-5400000">
        <a:off x="2139696" y="2051444"/>
        <a:ext cx="3785450" cy="341121"/>
      </dsp:txXfrm>
    </dsp:sp>
    <dsp:sp modelId="{A976D9EF-931F-4B7B-84DE-C9C6B8F8D667}">
      <dsp:nvSpPr>
        <dsp:cNvPr id="0" name=""/>
        <dsp:cNvSpPr/>
      </dsp:nvSpPr>
      <dsp:spPr>
        <a:xfrm>
          <a:off x="0" y="1985737"/>
          <a:ext cx="2139696" cy="472537"/>
        </a:xfrm>
        <a:prstGeom prst="roundRect">
          <a:avLst/>
        </a:prstGeom>
        <a:solidFill>
          <a:srgbClr val="2D459C"/>
        </a:solidFill>
        <a:ln w="12700" cap="flat" cmpd="sng" algn="ctr">
          <a:solidFill>
            <a:srgbClr val="1C2B6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45720" rIns="91440" bIns="4572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 dirty="0">
              <a:solidFill>
                <a:srgbClr val="E1EBF6"/>
              </a:solidFill>
              <a:latin typeface="PP Fragment Glare Medium" pitchFamily="50" charset="0"/>
              <a:ea typeface="PP Fragment Glare Medium" pitchFamily="50" charset="0"/>
            </a:rPr>
            <a:t>70%</a:t>
          </a:r>
        </a:p>
      </dsp:txBody>
      <dsp:txXfrm>
        <a:off x="23067" y="2008804"/>
        <a:ext cx="2093562" cy="4264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B0A6C11591D40843AAE36881C3E77" ma:contentTypeVersion="14" ma:contentTypeDescription="Create a new document." ma:contentTypeScope="" ma:versionID="152665c29dba7d64667c1436bb5b29e3">
  <xsd:schema xmlns:xsd="http://www.w3.org/2001/XMLSchema" xmlns:xs="http://www.w3.org/2001/XMLSchema" xmlns:p="http://schemas.microsoft.com/office/2006/metadata/properties" xmlns:ns2="a6d0fd09-6ed9-4d83-9eda-4a13996cee0e" xmlns:ns3="0bab563c-e95f-4e8f-9cb2-3d2a7dda4981" targetNamespace="http://schemas.microsoft.com/office/2006/metadata/properties" ma:root="true" ma:fieldsID="e001b8da828459fe93bbd85ad201e83d" ns2:_="" ns3:_="">
    <xsd:import namespace="a6d0fd09-6ed9-4d83-9eda-4a13996cee0e"/>
    <xsd:import namespace="0bab563c-e95f-4e8f-9cb2-3d2a7dda4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0fd09-6ed9-4d83-9eda-4a13996ce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09feba8-89c6-463e-9ccf-5f1b6f5874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b563c-e95f-4e8f-9cb2-3d2a7dda49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9e528ff-675d-40ad-9c86-a7f9c55b3c86}" ma:internalName="TaxCatchAll" ma:showField="CatchAllData" ma:web="0bab563c-e95f-4e8f-9cb2-3d2a7dda49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d0fd09-6ed9-4d83-9eda-4a13996cee0e">
      <Terms xmlns="http://schemas.microsoft.com/office/infopath/2007/PartnerControls"/>
    </lcf76f155ced4ddcb4097134ff3c332f>
    <TaxCatchAll xmlns="0bab563c-e95f-4e8f-9cb2-3d2a7dda49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F99AAE7-24AD-4C2B-A414-ECB0160075C9}"/>
</file>

<file path=customXml/itemProps2.xml><?xml version="1.0" encoding="utf-8"?>
<ds:datastoreItem xmlns:ds="http://schemas.openxmlformats.org/officeDocument/2006/customXml" ds:itemID="{FCAB6ED0-767C-4F33-AD07-AEB2271B8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4ACFCA-23CC-4A1A-A9EC-465B9247EEE3}">
  <ds:schemaRefs>
    <ds:schemaRef ds:uri="http://schemas.microsoft.com/office/2006/metadata/properties"/>
    <ds:schemaRef ds:uri="http://schemas.microsoft.com/office/infopath/2007/PartnerControls"/>
    <ds:schemaRef ds:uri="abfeb521-0503-4cc5-bec9-88808cd69275"/>
  </ds:schemaRefs>
</ds:datastoreItem>
</file>

<file path=customXml/itemProps4.xml><?xml version="1.0" encoding="utf-8"?>
<ds:datastoreItem xmlns:ds="http://schemas.openxmlformats.org/officeDocument/2006/customXml" ds:itemID="{6719E7E8-A0A6-43FE-96C4-92F87F6DA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Ehrig, Philip</dc:creator>
  <cp:keywords/>
  <dc:description/>
  <cp:lastModifiedBy>Krak, Louie</cp:lastModifiedBy>
  <cp:revision>2</cp:revision>
  <cp:lastPrinted>2023-07-12T17:31:00Z</cp:lastPrinted>
  <dcterms:created xsi:type="dcterms:W3CDTF">2023-07-13T18:30:00Z</dcterms:created>
  <dcterms:modified xsi:type="dcterms:W3CDTF">2023-07-13T18:30:00Z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0x0101005D2B0A6C11591D40843AAE36881C3E77</vt:lpwstr>
  </property>
</Properties>
</file>